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工具服配置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36"/>
          <w:szCs w:val="36"/>
          <w:bdr w:val="none" w:color="auto" w:sz="0" w:space="0"/>
          <w:shd w:val="clear" w:fill="FFFFFF"/>
        </w:rPr>
        <w:t>此教程需要开通后台之后才能操作</w:t>
      </w:r>
    </w:p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150" w:right="0"/>
        <w:jc w:val="left"/>
        <w:rPr>
          <w:b/>
          <w:sz w:val="26"/>
          <w:szCs w:val="26"/>
        </w:rPr>
      </w:pPr>
      <w:bookmarkStart w:id="0" w:name="后台-我要开服—开服管理—工具服配置。"/>
      <w:bookmarkEnd w:id="0"/>
      <w:r>
        <w:rPr>
          <w:b/>
          <w:i w:val="0"/>
          <w:caps w:val="0"/>
          <w:color w:val="333333"/>
          <w:spacing w:val="0"/>
          <w:sz w:val="26"/>
          <w:szCs w:val="26"/>
          <w:bdr w:val="none" w:color="auto" w:sz="0" w:space="0"/>
          <w:shd w:val="clear" w:fill="FFFFFF"/>
        </w:rPr>
        <w:t>后台-我要开服—开服管理—工具服配置。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其中IP地址和端口要和引擎端保持一致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5220950" cy="5172075"/>
            <wp:effectExtent l="0" t="0" r="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2095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引擎端口和IP地址配置：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如下图配置，端口为7001，IP地址为127.0.0.1 在后台工具服务配置中也要填写一致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972050" cy="4276725"/>
            <wp:effectExtent l="0" t="0" r="0" b="952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150" w:right="0"/>
        <w:jc w:val="left"/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版本号选择：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一般推荐选择最新的，可以在下拉列表中查看。也可以参照说明书更新日志选择其他需要的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2200275" cy="3228975"/>
            <wp:effectExtent l="0" t="0" r="9525" b="9525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说明书更新发布模块下可查看版本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8915400" cy="5076825"/>
            <wp:effectExtent l="0" t="0" r="0" b="9525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保存并下载登陆器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3420725" cy="4695825"/>
            <wp:effectExtent l="0" t="0" r="9525" b="952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20725" cy="469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150" w:right="0"/>
        <w:jc w:val="left"/>
      </w:pP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解压并打开客户端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：打开对应客户端文件，启动即可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4954250" cy="7515225"/>
            <wp:effectExtent l="0" t="0" r="0" b="952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B8A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2026-04-07T03:14:27Z</dcterms:created>
  <dc:creator>Administrator</dc:creator>
  <cp:lastModifiedBy>Administrator</cp:lastModifiedBy>
  <dcterms:modified xsi:type="dcterms:W3CDTF">2026-04-07T03:14:29Z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